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45" w:rsidRDefault="00E07966" w:rsidP="0083674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B0C0C"/>
          <w:sz w:val="32"/>
          <w:szCs w:val="32"/>
          <w:lang w:eastAsia="en-GB"/>
        </w:rPr>
        <w:drawing>
          <wp:anchor distT="36576" distB="36576" distL="36576" distR="36576" simplePos="0" relativeHeight="251660288" behindDoc="1" locked="0" layoutInCell="1" allowOverlap="1" wp14:anchorId="47260BF0" wp14:editId="19A4CC82">
            <wp:simplePos x="0" y="0"/>
            <wp:positionH relativeFrom="column">
              <wp:posOffset>4898898</wp:posOffset>
            </wp:positionH>
            <wp:positionV relativeFrom="paragraph">
              <wp:posOffset>381</wp:posOffset>
            </wp:positionV>
            <wp:extent cx="720795" cy="678561"/>
            <wp:effectExtent l="0" t="0" r="3175" b="7620"/>
            <wp:wrapTight wrapText="bothSides">
              <wp:wrapPolygon edited="0">
                <wp:start x="0" y="0"/>
                <wp:lineTo x="0" y="21236"/>
                <wp:lineTo x="21124" y="21236"/>
                <wp:lineTo x="211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95" cy="6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B0C0C"/>
          <w:sz w:val="32"/>
          <w:szCs w:val="32"/>
          <w:lang w:eastAsia="en-GB"/>
        </w:rPr>
        <w:drawing>
          <wp:anchor distT="36576" distB="36576" distL="36576" distR="36576" simplePos="0" relativeHeight="251658240" behindDoc="1" locked="0" layoutInCell="1" allowOverlap="1" wp14:anchorId="75E6E736" wp14:editId="3641001F">
            <wp:simplePos x="0" y="0"/>
            <wp:positionH relativeFrom="column">
              <wp:posOffset>-97537</wp:posOffset>
            </wp:positionH>
            <wp:positionV relativeFrom="paragraph">
              <wp:posOffset>254</wp:posOffset>
            </wp:positionV>
            <wp:extent cx="720795" cy="678561"/>
            <wp:effectExtent l="0" t="0" r="3175" b="7620"/>
            <wp:wrapTight wrapText="bothSides">
              <wp:wrapPolygon edited="0">
                <wp:start x="0" y="0"/>
                <wp:lineTo x="0" y="21236"/>
                <wp:lineTo x="21124" y="21236"/>
                <wp:lineTo x="211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08" cy="6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45" w:rsidRDefault="00836745" w:rsidP="00E07966">
      <w:pPr>
        <w:shd w:val="clear" w:color="auto" w:fill="FFFFFF"/>
        <w:spacing w:after="75" w:line="240" w:lineRule="auto"/>
        <w:ind w:left="300"/>
        <w:jc w:val="center"/>
        <w:rPr>
          <w:rFonts w:ascii="Comic Sans MS" w:eastAsia="Times New Roman" w:hAnsi="Comic Sans MS" w:cs="Arial"/>
          <w:b/>
          <w:color w:val="0B0C0C"/>
          <w:sz w:val="44"/>
          <w:szCs w:val="44"/>
          <w:u w:val="single"/>
          <w:lang w:eastAsia="en-GB"/>
        </w:rPr>
      </w:pPr>
      <w:r w:rsidRPr="00E07966">
        <w:rPr>
          <w:rFonts w:ascii="Comic Sans MS" w:eastAsia="Times New Roman" w:hAnsi="Comic Sans MS" w:cs="Arial"/>
          <w:b/>
          <w:color w:val="0B0C0C"/>
          <w:sz w:val="44"/>
          <w:szCs w:val="44"/>
          <w:u w:val="single"/>
          <w:lang w:eastAsia="en-GB"/>
        </w:rPr>
        <w:t>History</w:t>
      </w:r>
      <w:r w:rsidR="00910F11" w:rsidRPr="00E07966">
        <w:rPr>
          <w:rFonts w:ascii="Comic Sans MS" w:eastAsia="Times New Roman" w:hAnsi="Comic Sans MS" w:cs="Arial"/>
          <w:b/>
          <w:color w:val="0B0C0C"/>
          <w:sz w:val="44"/>
          <w:szCs w:val="44"/>
          <w:u w:val="single"/>
          <w:lang w:eastAsia="en-GB"/>
        </w:rPr>
        <w:t xml:space="preserve"> Curriculum Intent at Thingwall</w:t>
      </w:r>
    </w:p>
    <w:p w:rsidR="00844B7D" w:rsidRPr="00844B7D" w:rsidRDefault="00844B7D" w:rsidP="00844B7D">
      <w:pPr>
        <w:spacing w:before="30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aps/>
          <w:color w:val="2F172D"/>
          <w:spacing w:val="19"/>
          <w:sz w:val="21"/>
          <w:szCs w:val="21"/>
          <w:lang w:eastAsia="en-GB"/>
        </w:rPr>
      </w:pPr>
      <w:r w:rsidRPr="00844B7D">
        <w:rPr>
          <w:rFonts w:ascii="Times New Roman" w:eastAsia="Times New Roman" w:hAnsi="Times New Roman" w:cs="Times New Roman"/>
          <w:caps/>
          <w:color w:val="2F172D"/>
          <w:spacing w:val="19"/>
          <w:sz w:val="21"/>
          <w:szCs w:val="21"/>
          <w:lang w:eastAsia="en-GB"/>
        </w:rPr>
        <w:t>THE POWER TO QUESTION IS THE BASIS OF ALL HUMAN PROGRESS.</w:t>
      </w:r>
    </w:p>
    <w:p w:rsidR="00844B7D" w:rsidRPr="00844B7D" w:rsidRDefault="00844B7D" w:rsidP="00844B7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172D"/>
          <w:sz w:val="24"/>
          <w:szCs w:val="24"/>
          <w:lang w:eastAsia="en-GB"/>
        </w:rPr>
      </w:pPr>
      <w:r w:rsidRPr="00844B7D">
        <w:rPr>
          <w:rFonts w:ascii="Times New Roman" w:eastAsia="Times New Roman" w:hAnsi="Times New Roman" w:cs="Times New Roman"/>
          <w:color w:val="2F172D"/>
          <w:sz w:val="24"/>
          <w:szCs w:val="24"/>
          <w:lang w:eastAsia="en-GB"/>
        </w:rPr>
        <w:t>Indira Gandhi</w:t>
      </w:r>
      <w:bookmarkStart w:id="0" w:name="_GoBack"/>
      <w:bookmarkEnd w:id="0"/>
    </w:p>
    <w:p w:rsidR="00D6279D" w:rsidRDefault="00D6279D" w:rsidP="00D6279D">
      <w:pPr>
        <w:shd w:val="clear" w:color="auto" w:fill="FFFFFF"/>
        <w:spacing w:after="75" w:line="240" w:lineRule="auto"/>
        <w:rPr>
          <w:rFonts w:ascii="Comic Sans MS" w:hAnsi="Comic Sans MS" w:cs="Arial"/>
          <w:sz w:val="24"/>
          <w:szCs w:val="24"/>
        </w:rPr>
      </w:pPr>
    </w:p>
    <w:p w:rsidR="00547174" w:rsidRDefault="00712E33" w:rsidP="00D6279D">
      <w:pPr>
        <w:shd w:val="clear" w:color="auto" w:fill="FFFFFF"/>
        <w:spacing w:after="75" w:line="240" w:lineRule="auto"/>
        <w:rPr>
          <w:rFonts w:ascii="Comic Sans MS" w:hAnsi="Comic Sans MS" w:cs="Arial"/>
          <w:sz w:val="24"/>
          <w:szCs w:val="24"/>
        </w:rPr>
      </w:pPr>
      <w:r w:rsidRPr="00E07966">
        <w:rPr>
          <w:rFonts w:ascii="Comic Sans MS" w:hAnsi="Comic Sans MS" w:cs="Arial"/>
          <w:sz w:val="24"/>
          <w:szCs w:val="24"/>
        </w:rPr>
        <w:t xml:space="preserve">Our intent is to </w:t>
      </w:r>
      <w:r w:rsidR="004E35A0" w:rsidRPr="00E07966">
        <w:rPr>
          <w:rFonts w:ascii="Comic Sans MS" w:hAnsi="Comic Sans MS" w:cs="Arial"/>
          <w:sz w:val="24"/>
          <w:szCs w:val="24"/>
        </w:rPr>
        <w:t xml:space="preserve">nurture children’s curiosity and guide them to become progressively informed, independent thinkers in society. </w:t>
      </w:r>
    </w:p>
    <w:p w:rsidR="00D6279D" w:rsidRDefault="00D6279D" w:rsidP="00D6279D">
      <w:pPr>
        <w:shd w:val="clear" w:color="auto" w:fill="FFFFFF"/>
        <w:spacing w:after="75" w:line="240" w:lineRule="auto"/>
        <w:rPr>
          <w:rFonts w:ascii="Comic Sans MS" w:hAnsi="Comic Sans MS" w:cs="Arial"/>
          <w:sz w:val="24"/>
          <w:szCs w:val="24"/>
        </w:rPr>
      </w:pPr>
    </w:p>
    <w:p w:rsidR="00B8020E" w:rsidRPr="00E07966" w:rsidRDefault="004E35A0" w:rsidP="00D6279D">
      <w:pPr>
        <w:shd w:val="clear" w:color="auto" w:fill="FFFFFF"/>
        <w:spacing w:after="75" w:line="240" w:lineRule="auto"/>
        <w:rPr>
          <w:rFonts w:ascii="Comic Sans MS" w:hAnsi="Comic Sans MS" w:cs="Arial"/>
          <w:sz w:val="24"/>
          <w:szCs w:val="24"/>
        </w:rPr>
      </w:pPr>
      <w:r w:rsidRPr="00E07966">
        <w:rPr>
          <w:rFonts w:ascii="Comic Sans MS" w:hAnsi="Comic Sans MS" w:cs="Arial"/>
          <w:sz w:val="24"/>
          <w:szCs w:val="24"/>
        </w:rPr>
        <w:t xml:space="preserve">Through the Early Years </w:t>
      </w:r>
      <w:r w:rsidR="00680BDC" w:rsidRPr="00E07966">
        <w:rPr>
          <w:rFonts w:ascii="Comic Sans MS" w:hAnsi="Comic Sans MS" w:cs="Arial"/>
          <w:sz w:val="24"/>
          <w:szCs w:val="24"/>
        </w:rPr>
        <w:t>Framework</w:t>
      </w:r>
      <w:r w:rsidR="00B8020E" w:rsidRPr="00E07966">
        <w:rPr>
          <w:rFonts w:ascii="Comic Sans MS" w:hAnsi="Comic Sans MS" w:cs="Arial"/>
          <w:sz w:val="24"/>
          <w:szCs w:val="24"/>
        </w:rPr>
        <w:t xml:space="preserve"> (Understanding of the World: Past and Present </w:t>
      </w:r>
      <w:r w:rsidRPr="00E07966">
        <w:rPr>
          <w:rFonts w:ascii="Comic Sans MS" w:hAnsi="Comic Sans MS" w:cs="Arial"/>
          <w:sz w:val="24"/>
          <w:szCs w:val="24"/>
        </w:rPr>
        <w:t xml:space="preserve">aspect 2021) and the National Curriculum at Key Stage 1 and 2 (2014), our </w:t>
      </w:r>
      <w:r w:rsidR="00547174" w:rsidRPr="00E07966">
        <w:rPr>
          <w:rFonts w:ascii="Comic Sans MS" w:hAnsi="Comic Sans MS" w:cs="Arial"/>
          <w:sz w:val="24"/>
          <w:szCs w:val="24"/>
        </w:rPr>
        <w:t xml:space="preserve">broad </w:t>
      </w:r>
      <w:r w:rsidRPr="00E07966">
        <w:rPr>
          <w:rFonts w:ascii="Comic Sans MS" w:hAnsi="Comic Sans MS" w:cs="Arial"/>
          <w:sz w:val="24"/>
          <w:szCs w:val="24"/>
        </w:rPr>
        <w:t xml:space="preserve">curriculum </w:t>
      </w:r>
      <w:r w:rsidR="00680BDC" w:rsidRPr="00E07966">
        <w:rPr>
          <w:rFonts w:ascii="Comic Sans MS" w:hAnsi="Comic Sans MS" w:cs="Arial"/>
          <w:sz w:val="24"/>
          <w:szCs w:val="24"/>
        </w:rPr>
        <w:t>centres around three main strands</w:t>
      </w:r>
      <w:r w:rsidR="00B8020E" w:rsidRPr="00E07966">
        <w:rPr>
          <w:rFonts w:ascii="Comic Sans MS" w:hAnsi="Comic Sans MS" w:cs="Arial"/>
          <w:sz w:val="24"/>
          <w:szCs w:val="24"/>
        </w:rPr>
        <w:t xml:space="preserve"> that are progressively developed through the age groups. These are</w:t>
      </w:r>
      <w:r w:rsidR="00680BDC" w:rsidRPr="00E07966">
        <w:rPr>
          <w:rFonts w:ascii="Comic Sans MS" w:hAnsi="Comic Sans MS" w:cs="Arial"/>
          <w:sz w:val="24"/>
          <w:szCs w:val="24"/>
        </w:rPr>
        <w:t xml:space="preserve">: </w:t>
      </w:r>
    </w:p>
    <w:p w:rsidR="00E07966" w:rsidRPr="003C654C" w:rsidRDefault="00680BDC" w:rsidP="00D6279D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Comic Sans MS" w:hAnsi="Comic Sans MS" w:cs="Arial"/>
          <w:b/>
          <w:color w:val="2E74B5" w:themeColor="accent1" w:themeShade="BF"/>
          <w:sz w:val="24"/>
          <w:szCs w:val="24"/>
        </w:rPr>
      </w:pPr>
      <w:r w:rsidRPr="003C654C">
        <w:rPr>
          <w:rFonts w:ascii="Comic Sans MS" w:hAnsi="Comic Sans MS" w:cs="Arial"/>
          <w:b/>
          <w:color w:val="2E74B5" w:themeColor="accent1" w:themeShade="BF"/>
          <w:sz w:val="24"/>
          <w:szCs w:val="24"/>
          <w:u w:val="single"/>
        </w:rPr>
        <w:t>Chronological U</w:t>
      </w:r>
      <w:r w:rsidR="00B8020E" w:rsidRPr="003C654C">
        <w:rPr>
          <w:rFonts w:ascii="Comic Sans MS" w:hAnsi="Comic Sans MS" w:cs="Arial"/>
          <w:b/>
          <w:color w:val="2E74B5" w:themeColor="accent1" w:themeShade="BF"/>
          <w:sz w:val="24"/>
          <w:szCs w:val="24"/>
          <w:u w:val="single"/>
        </w:rPr>
        <w:t>nderstanding</w:t>
      </w:r>
      <w:r w:rsidR="00E07966" w:rsidRPr="003C654C">
        <w:rPr>
          <w:rFonts w:ascii="Comic Sans MS" w:hAnsi="Comic Sans MS" w:cs="Arial"/>
          <w:b/>
          <w:color w:val="2E74B5" w:themeColor="accent1" w:themeShade="BF"/>
          <w:sz w:val="24"/>
          <w:szCs w:val="24"/>
        </w:rPr>
        <w:t xml:space="preserve"> </w:t>
      </w:r>
    </w:p>
    <w:p w:rsidR="00B8020E" w:rsidRPr="003C654C" w:rsidRDefault="00E07966" w:rsidP="00D6279D">
      <w:pPr>
        <w:pStyle w:val="ListParagraph"/>
        <w:numPr>
          <w:ilvl w:val="0"/>
          <w:numId w:val="9"/>
        </w:numPr>
        <w:shd w:val="clear" w:color="auto" w:fill="FFFFFF"/>
        <w:spacing w:after="75" w:line="240" w:lineRule="auto"/>
        <w:rPr>
          <w:rFonts w:ascii="Comic Sans MS" w:hAnsi="Comic Sans MS" w:cs="Arial"/>
          <w:color w:val="2E74B5" w:themeColor="accent1" w:themeShade="BF"/>
          <w:sz w:val="20"/>
          <w:szCs w:val="20"/>
        </w:rPr>
      </w:pPr>
      <w:r w:rsidRPr="003C654C">
        <w:rPr>
          <w:rFonts w:ascii="Comic Sans MS" w:hAnsi="Comic Sans MS" w:cs="Arial"/>
          <w:i/>
          <w:color w:val="2E74B5" w:themeColor="accent1" w:themeShade="BF"/>
          <w:sz w:val="20"/>
          <w:szCs w:val="20"/>
        </w:rPr>
        <w:t>Skills of constructing and sequencing the past</w:t>
      </w:r>
    </w:p>
    <w:p w:rsidR="00E07966" w:rsidRPr="003C654C" w:rsidRDefault="00680BDC" w:rsidP="00D6279D">
      <w:pPr>
        <w:pStyle w:val="NoSpacing"/>
        <w:numPr>
          <w:ilvl w:val="0"/>
          <w:numId w:val="4"/>
        </w:numPr>
        <w:shd w:val="clear" w:color="auto" w:fill="FFFFFF"/>
        <w:spacing w:after="75"/>
        <w:rPr>
          <w:rFonts w:ascii="Comic Sans MS" w:hAnsi="Comic Sans MS" w:cs="Arial"/>
          <w:b/>
          <w:color w:val="2E74B5" w:themeColor="accent1" w:themeShade="BF"/>
          <w:u w:val="single"/>
        </w:rPr>
      </w:pPr>
      <w:r w:rsidRPr="003C654C">
        <w:rPr>
          <w:rFonts w:ascii="Comic Sans MS" w:hAnsi="Comic Sans MS" w:cs="Arial"/>
          <w:b/>
          <w:color w:val="2E74B5" w:themeColor="accent1" w:themeShade="BF"/>
          <w:u w:val="single"/>
        </w:rPr>
        <w:t xml:space="preserve">Knowledge </w:t>
      </w:r>
      <w:r w:rsidR="00B8020E" w:rsidRPr="003C654C">
        <w:rPr>
          <w:rFonts w:ascii="Comic Sans MS" w:hAnsi="Comic Sans MS" w:cs="Arial"/>
          <w:b/>
          <w:color w:val="2E74B5" w:themeColor="accent1" w:themeShade="BF"/>
          <w:u w:val="single"/>
        </w:rPr>
        <w:t xml:space="preserve">and Interpretation </w:t>
      </w:r>
    </w:p>
    <w:p w:rsidR="00B8020E" w:rsidRPr="003C654C" w:rsidRDefault="00E07966" w:rsidP="00D6279D">
      <w:pPr>
        <w:pStyle w:val="NoSpacing"/>
        <w:numPr>
          <w:ilvl w:val="0"/>
          <w:numId w:val="8"/>
        </w:numPr>
        <w:shd w:val="clear" w:color="auto" w:fill="FFFFFF"/>
        <w:spacing w:after="75"/>
        <w:rPr>
          <w:rFonts w:ascii="Comic Sans MS" w:hAnsi="Comic Sans MS" w:cs="Arial"/>
          <w:color w:val="2E74B5" w:themeColor="accent1" w:themeShade="BF"/>
        </w:rPr>
      </w:pPr>
      <w:r w:rsidRPr="003C654C">
        <w:rPr>
          <w:rFonts w:ascii="Comic Sans MS" w:hAnsi="Comic Sans MS"/>
          <w:i/>
          <w:color w:val="2E74B5" w:themeColor="accent1" w:themeShade="BF"/>
          <w:sz w:val="20"/>
          <w:szCs w:val="20"/>
        </w:rPr>
        <w:t xml:space="preserve"> Skills to identify differences and similarities, causes and effects, the significance and interpretation of the past</w:t>
      </w:r>
      <w:r w:rsidRPr="003C654C">
        <w:rPr>
          <w:rFonts w:ascii="Comic Sans MS" w:hAnsi="Comic Sans MS"/>
          <w:color w:val="2E74B5" w:themeColor="accent1" w:themeShade="BF"/>
          <w:sz w:val="20"/>
          <w:szCs w:val="20"/>
        </w:rPr>
        <w:t>.</w:t>
      </w:r>
    </w:p>
    <w:p w:rsidR="00E07966" w:rsidRPr="003C654C" w:rsidRDefault="00680BDC" w:rsidP="00D6279D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rPr>
          <w:rFonts w:ascii="Comic Sans MS" w:hAnsi="Comic Sans MS" w:cs="Arial"/>
          <w:b/>
          <w:color w:val="2E74B5" w:themeColor="accent1" w:themeShade="BF"/>
          <w:sz w:val="24"/>
          <w:szCs w:val="24"/>
          <w:u w:val="single"/>
        </w:rPr>
      </w:pPr>
      <w:r w:rsidRPr="003C654C">
        <w:rPr>
          <w:rFonts w:ascii="Comic Sans MS" w:hAnsi="Comic Sans MS" w:cs="Arial"/>
          <w:b/>
          <w:color w:val="2E74B5" w:themeColor="accent1" w:themeShade="BF"/>
          <w:sz w:val="24"/>
          <w:szCs w:val="24"/>
          <w:u w:val="single"/>
        </w:rPr>
        <w:t xml:space="preserve">Historical Enquiry. </w:t>
      </w:r>
    </w:p>
    <w:p w:rsidR="00680BDC" w:rsidRPr="003C654C" w:rsidRDefault="00E07966" w:rsidP="00D6279D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Comic Sans MS" w:hAnsi="Comic Sans MS" w:cs="Arial"/>
          <w:i/>
          <w:color w:val="2E74B5" w:themeColor="accent1" w:themeShade="BF"/>
          <w:sz w:val="24"/>
          <w:szCs w:val="24"/>
        </w:rPr>
      </w:pPr>
      <w:r w:rsidRPr="003C654C">
        <w:rPr>
          <w:rFonts w:ascii="Comic Sans MS" w:hAnsi="Comic Sans MS"/>
          <w:i/>
          <w:color w:val="2E74B5" w:themeColor="accent1" w:themeShade="BF"/>
          <w:sz w:val="20"/>
          <w:szCs w:val="20"/>
        </w:rPr>
        <w:t>Ability to plan and communicate a historical enquiry- ask and respond to questions; use different sources of evidence to support enquiry</w:t>
      </w:r>
    </w:p>
    <w:p w:rsidR="00D6279D" w:rsidRDefault="00D6279D" w:rsidP="00D6279D">
      <w:pPr>
        <w:shd w:val="clear" w:color="auto" w:fill="FFFFFF"/>
        <w:spacing w:after="75" w:line="240" w:lineRule="auto"/>
        <w:rPr>
          <w:rFonts w:ascii="Comic Sans MS" w:hAnsi="Comic Sans MS" w:cs="Arial"/>
          <w:sz w:val="24"/>
          <w:szCs w:val="24"/>
        </w:rPr>
      </w:pPr>
    </w:p>
    <w:p w:rsidR="00B8020E" w:rsidRPr="00E07966" w:rsidRDefault="00B8020E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07966">
        <w:rPr>
          <w:rFonts w:ascii="Comic Sans MS" w:hAnsi="Comic Sans MS" w:cs="Arial"/>
          <w:sz w:val="24"/>
          <w:szCs w:val="24"/>
        </w:rPr>
        <w:t>Our history curriculum i</w:t>
      </w:r>
      <w:r w:rsidR="00547174" w:rsidRPr="00E07966">
        <w:rPr>
          <w:rFonts w:ascii="Comic Sans MS" w:hAnsi="Comic Sans MS" w:cs="Arial"/>
          <w:sz w:val="24"/>
          <w:szCs w:val="24"/>
        </w:rPr>
        <w:t>s r</w:t>
      </w:r>
      <w:r w:rsidR="00712E33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ich in </w:t>
      </w:r>
      <w:r w:rsidR="009641B5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language</w:t>
      </w:r>
      <w:r w:rsidR="00EC36DD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(see our English VIPERS)</w:t>
      </w:r>
      <w:r w:rsidR="009641B5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, </w:t>
      </w:r>
      <w:r w:rsidR="00712E33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skills and knowledge</w:t>
      </w:r>
      <w:r w:rsidR="009641B5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. It </w:t>
      </w:r>
      <w:r w:rsidR="00654F3B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has a chronological sequence of learning</w:t>
      </w:r>
      <w:r w:rsidR="009641B5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that is relevant to children’s own life experiences first, before exploring events and people beyond living memory. I</w:t>
      </w:r>
      <w:r w:rsidR="00924E1C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 facilitates opportunities for children to explore, be curious</w:t>
      </w:r>
      <w:r w:rsidR="009641B5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and </w:t>
      </w:r>
      <w:r w:rsidR="00924E1C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ask questions in order to develop a critical mind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at a </w:t>
      </w:r>
      <w:r w:rsidR="009641B5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personal,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local, natio</w:t>
      </w:r>
      <w:r w:rsidR="00D6279D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nal and international level; </w:t>
      </w:r>
      <w:r w:rsidR="00A271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about </w:t>
      </w:r>
      <w:r w:rsidR="00D6279D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cultural, economic, military, political, religious and social history; and between short- and long-term timescales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from </w:t>
      </w:r>
      <w:r w:rsidR="00A271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ncient</w:t>
      </w:r>
      <w:r w:rsidR="00A271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civilisations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to the twentieth century.</w:t>
      </w:r>
      <w:r w:rsidR="00C40860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</w:p>
    <w:p w:rsidR="009641B5" w:rsidRPr="00E07966" w:rsidRDefault="00C40860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Our curriculum provides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the opportunity to explore different peoples’ perspectives on issues and events and think critical</w:t>
      </w:r>
      <w:r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ly about the world in which we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live. </w:t>
      </w:r>
      <w:r w:rsidR="00A271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In FS2 and Key stage 1</w:t>
      </w:r>
      <w:r w:rsidR="00DE19D9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, </w:t>
      </w:r>
      <w:r w:rsidR="00A271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history is explored through living memory, near living memory and </w:t>
      </w:r>
      <w:r w:rsidR="00DE19D9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differences </w:t>
      </w:r>
      <w:r w:rsidR="00A271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and similarities f</w:t>
      </w:r>
      <w:r w:rsidR="00DE19D9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rom the past to the present day. The curriculum relates to children’s own lives, the home and stories from the past. In Key Stage 2, history </w:t>
      </w:r>
      <w:r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is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sequenced to give </w:t>
      </w:r>
      <w:r w:rsidR="00D6279D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children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 broad</w:t>
      </w:r>
      <w:r w:rsidR="00DE19D9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er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understanding of the chronological development of British history, as well as </w:t>
      </w:r>
      <w:r w:rsidR="009641B5" w:rsidRPr="00674CE3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lastRenderedPageBreak/>
        <w:t xml:space="preserve">being able to make links to </w:t>
      </w:r>
      <w:r w:rsidR="00B8020E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the wider world. The three main strands taught </w:t>
      </w:r>
      <w:r w:rsidR="00547174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can be transferable over different periods of time a</w:t>
      </w:r>
      <w:r w:rsidR="00B8020E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s </w:t>
      </w:r>
      <w:r w:rsidR="00547174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time periods are revisited</w:t>
      </w:r>
      <w:r w:rsidR="00EC36DD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and co</w:t>
      </w:r>
      <w:r w:rsidR="00547174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mpared to ensure knowledge is secure. </w:t>
      </w:r>
    </w:p>
    <w:p w:rsidR="00EC36DD" w:rsidRPr="00E07966" w:rsidRDefault="00EC36DD" w:rsidP="00D6279D">
      <w:pPr>
        <w:shd w:val="clear" w:color="auto" w:fill="FFFFFF"/>
        <w:spacing w:after="75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</w:p>
    <w:p w:rsidR="00836745" w:rsidRPr="00E07966" w:rsidRDefault="00EC36DD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Thingwall Primary School is proud of its local Viking heritage- Thingwall being known as the Norse assembly point on the Wirral Peninsula but history is also root</w:t>
      </w:r>
      <w:r w:rsidR="00D6279D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ed</w:t>
      </w:r>
      <w:r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in other local legacies.</w:t>
      </w:r>
      <w:r w:rsidR="00174671" w:rsidRPr="00E07966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Where possible, children will 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know of the</w:t>
      </w:r>
      <w:r w:rsidR="00D6279D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se 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legacies and understand the influences of local living and past significant figures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, places 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and events in Merseyside</w:t>
      </w:r>
      <w:r w:rsidR="00D6279D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; l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egacies such as 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the Vikings (</w:t>
      </w:r>
      <w:proofErr w:type="spellStart"/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Tingvoll</w:t>
      </w:r>
      <w:proofErr w:type="spellEnd"/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, </w:t>
      </w:r>
      <w:proofErr w:type="spellStart"/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Tynwald</w:t>
      </w:r>
      <w:proofErr w:type="spellEnd"/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and Thingwall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), Lord and Lady Ragn</w:t>
      </w:r>
      <w:r w:rsidR="00712E33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a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r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, 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Joseph Paxton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and </w:t>
      </w:r>
      <w:r w:rsidR="00D6279D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John Laird 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in 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Birkenhead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, 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Lord </w:t>
      </w:r>
      <w:proofErr w:type="spellStart"/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Leverhulme</w:t>
      </w:r>
      <w:proofErr w:type="spellEnd"/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in </w:t>
      </w:r>
      <w:r w:rsidR="00836745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Port Sunlight and 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Kitty Wilkinson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in Liverpool. Other local influences will be studied such as 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Ken Dodd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, </w:t>
      </w:r>
      <w:r w:rsidR="000936AA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The Beatles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, </w:t>
      </w:r>
      <w:proofErr w:type="spellStart"/>
      <w:r w:rsidR="00F6457E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Cammell</w:t>
      </w:r>
      <w:proofErr w:type="spellEnd"/>
      <w:r w:rsidR="00F6457E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Laird Ship building, the River Mersey</w:t>
      </w:r>
      <w:r w:rsidR="00174671" w:rsidRPr="00E07966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, Birkenhead Priory, Speke Hall, The British Legion.</w:t>
      </w:r>
      <w:r w:rsidR="00DE19D9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When and wherever possible, fieldtrips and Living History groups will be incorporated into planning to enhance the awe and wonder of history. </w:t>
      </w:r>
    </w:p>
    <w:p w:rsidR="006B771C" w:rsidRDefault="00D6279D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In collaboration with our English Curriculum, our school </w:t>
      </w:r>
      <w:r w:rsidRPr="00DE19D9">
        <w:rPr>
          <w:rFonts w:ascii="Comic Sans MS" w:eastAsia="Times New Roman" w:hAnsi="Comic Sans MS" w:cs="Arial"/>
          <w:b/>
          <w:color w:val="00B0F0"/>
          <w:sz w:val="24"/>
          <w:szCs w:val="24"/>
          <w:lang w:eastAsia="en-GB"/>
        </w:rPr>
        <w:t xml:space="preserve">VIPERS 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acronym is embedded in our lessons to improve reading and </w:t>
      </w:r>
      <w:r w:rsidR="006B771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the 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understanding</w:t>
      </w:r>
      <w:r w:rsidR="006B771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of history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. Teaching </w:t>
      </w:r>
      <w:r w:rsidR="006B771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in history will promote:</w:t>
      </w:r>
    </w:p>
    <w:p w:rsidR="006B771C" w:rsidRDefault="006B771C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F04EC3">
        <w:rPr>
          <w:rFonts w:ascii="Comic Sans MS" w:eastAsia="Times New Roman" w:hAnsi="Comic Sans MS" w:cs="Arial"/>
          <w:b/>
          <w:color w:val="00B0F0"/>
          <w:sz w:val="36"/>
          <w:szCs w:val="36"/>
          <w:lang w:eastAsia="en-GB"/>
        </w:rPr>
        <w:t>V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OCABUALRY–</w:t>
      </w:r>
      <w:r w:rsidRPr="006B771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children will </w:t>
      </w:r>
      <w:r w:rsidRPr="00D6279D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gain and deploy a historically grounded understanding of abstract terms such as ‘empire’, ‘civilisation’, ‘parliament’, ‘peasantry’, ‘assembly ground’, ‘settlement’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, legacy;</w:t>
      </w:r>
    </w:p>
    <w:p w:rsidR="006B771C" w:rsidRDefault="006B771C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F04EC3">
        <w:rPr>
          <w:rFonts w:ascii="Comic Sans MS" w:eastAsia="Times New Roman" w:hAnsi="Comic Sans MS" w:cs="Arial"/>
          <w:b/>
          <w:color w:val="00B0F0"/>
          <w:sz w:val="36"/>
          <w:szCs w:val="36"/>
          <w:lang w:eastAsia="en-GB"/>
        </w:rPr>
        <w:t>I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NFER-children will read different sources to infer meaning, detect bias, viewpoints</w:t>
      </w:r>
      <w:r w:rsid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, analyse trends;</w:t>
      </w:r>
    </w:p>
    <w:p w:rsidR="006B771C" w:rsidRDefault="006B771C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F04EC3">
        <w:rPr>
          <w:rFonts w:ascii="Comic Sans MS" w:eastAsia="Times New Roman" w:hAnsi="Comic Sans MS" w:cs="Arial"/>
          <w:b/>
          <w:color w:val="00B0F0"/>
          <w:sz w:val="36"/>
          <w:szCs w:val="36"/>
          <w:lang w:eastAsia="en-GB"/>
        </w:rPr>
        <w:t>E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XPLAIN-children will explain continuity and change, cause and effect, similarity and difference, make comparisons </w:t>
      </w:r>
      <w:r w:rsid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and draw contrasts, answer questions by explaining their thinking, write or describe their own accounts in history;</w:t>
      </w:r>
    </w:p>
    <w:p w:rsidR="006B771C" w:rsidRDefault="006B771C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F04EC3">
        <w:rPr>
          <w:rFonts w:ascii="Comic Sans MS" w:eastAsia="Times New Roman" w:hAnsi="Comic Sans MS" w:cs="Arial"/>
          <w:b/>
          <w:color w:val="00B0F0"/>
          <w:sz w:val="36"/>
          <w:szCs w:val="36"/>
          <w:lang w:eastAsia="en-GB"/>
        </w:rPr>
        <w:t>R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ETRIEVE-</w:t>
      </w:r>
      <w:r w:rsid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children will </w:t>
      </w:r>
      <w:r w:rsidR="00CE41FA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use different methods of historical enquiry to retrieve e</w:t>
      </w:r>
      <w:r w:rsid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vidence</w:t>
      </w:r>
      <w:r w:rsidR="00CE41FA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and </w:t>
      </w:r>
      <w:r w:rsid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knowledge of the past;</w:t>
      </w:r>
    </w:p>
    <w:p w:rsidR="00F04EC3" w:rsidRPr="00F04EC3" w:rsidRDefault="006B771C" w:rsidP="00F04EC3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F04EC3">
        <w:rPr>
          <w:rFonts w:ascii="Comic Sans MS" w:eastAsia="Times New Roman" w:hAnsi="Comic Sans MS" w:cs="Arial"/>
          <w:b/>
          <w:color w:val="00B0F0"/>
          <w:sz w:val="36"/>
          <w:szCs w:val="36"/>
          <w:lang w:eastAsia="en-GB"/>
        </w:rPr>
        <w:t>S</w:t>
      </w:r>
      <w:r w:rsidRP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EQUENCE/</w:t>
      </w:r>
      <w:r w:rsidRPr="00F04EC3">
        <w:rPr>
          <w:rFonts w:ascii="Comic Sans MS" w:eastAsia="Times New Roman" w:hAnsi="Comic Sans MS" w:cs="Arial"/>
          <w:b/>
          <w:color w:val="00B0F0"/>
          <w:sz w:val="36"/>
          <w:szCs w:val="36"/>
          <w:lang w:eastAsia="en-GB"/>
        </w:rPr>
        <w:t>S</w:t>
      </w:r>
      <w:r w:rsidRP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UMMARISE</w:t>
      </w:r>
      <w:r w:rsidR="00F04EC3" w:rsidRPr="00F04EC3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- children will sequence events in chronological order; summarise how and why contrasting arguments and interpretations of the past have been constructed</w:t>
      </w:r>
    </w:p>
    <w:p w:rsidR="006B771C" w:rsidRDefault="006B771C" w:rsidP="00D6279D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</w:p>
    <w:p w:rsidR="005B5129" w:rsidRDefault="00DE19D9" w:rsidP="005B5129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To ensure ‘sticky knowledge’ is embedded, all classrooms will display a timeline of their period in time and will visit the History corridor wall time line. At the beginning of each academic year, children will refresh their memories and test 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lastRenderedPageBreak/>
        <w:t>their knowledge by building time line strips</w:t>
      </w:r>
      <w:r w:rsidR="005B5129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, sequencing events in time. They will use their own timelines at the front of History books or in FS2 Journals to refer to when learning about a time period. FS2 will gradually build a time line through the year as events and people are discussed starting with themselves.  L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essons wi</w:t>
      </w:r>
      <w:r w:rsidR="008F1CDD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ll start wi</w:t>
      </w: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th a mini quiz or three fun facts </w:t>
      </w:r>
      <w:r w:rsidR="005B5129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starter to recap on present period taught or a recap of another </w:t>
      </w:r>
      <w:r w:rsidR="00E523F5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y</w:t>
      </w:r>
      <w:r w:rsidR="005B5129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ear taught. </w:t>
      </w:r>
      <w:r w:rsidR="00E523F5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Knowledge Maps are used for this purpose. </w:t>
      </w:r>
    </w:p>
    <w:p w:rsidR="00DE19D9" w:rsidRPr="003C654C" w:rsidRDefault="005B5129" w:rsidP="005B5129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Historical </w:t>
      </w:r>
      <w:r w:rsidRPr="003C654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skills will be assessed using </w:t>
      </w:r>
      <w:proofErr w:type="spellStart"/>
      <w:r w:rsidRPr="003C654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Thingwall’s</w:t>
      </w:r>
      <w:proofErr w:type="spellEnd"/>
      <w:r w:rsidRPr="003C654C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 xml:space="preserve"> </w:t>
      </w:r>
      <w:r w:rsidRPr="003C654C">
        <w:rPr>
          <w:rFonts w:ascii="Comic Sans MS" w:eastAsia="Times New Roman" w:hAnsi="Comic Sans MS" w:cs="Arial"/>
          <w:i/>
          <w:color w:val="0B0C0C"/>
          <w:sz w:val="24"/>
          <w:szCs w:val="24"/>
          <w:lang w:eastAsia="en-GB"/>
        </w:rPr>
        <w:t xml:space="preserve">Assessment Focus for the </w:t>
      </w:r>
      <w:r w:rsidRPr="003C654C">
        <w:rPr>
          <w:rFonts w:ascii="Comic Sans MS" w:eastAsia="Times New Roman" w:hAnsi="Comic Sans MS" w:cs="Arial"/>
          <w:i/>
          <w:sz w:val="24"/>
          <w:szCs w:val="24"/>
          <w:lang w:eastAsia="en-GB"/>
        </w:rPr>
        <w:t xml:space="preserve">Progression of Skills </w:t>
      </w:r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taken from </w:t>
      </w:r>
      <w:r w:rsidRPr="00674CE3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 National Curriculum Aims, Weaving Skills and Knowledge </w:t>
      </w:r>
      <w:r w:rsidR="008F1CDD"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Focus </w:t>
      </w:r>
      <w:r w:rsidRPr="00674CE3">
        <w:rPr>
          <w:rFonts w:ascii="Comic Sans MS" w:eastAsia="Times New Roman" w:hAnsi="Comic Sans MS" w:cs="Arial"/>
          <w:sz w:val="24"/>
          <w:szCs w:val="24"/>
          <w:lang w:eastAsia="en-GB"/>
        </w:rPr>
        <w:t>document</w:t>
      </w:r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at the end of a unit. </w:t>
      </w:r>
      <w:r w:rsidRPr="00674CE3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Target Tracker </w:t>
      </w:r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statements will be marked against biannually to judge overall </w:t>
      </w:r>
      <w:r w:rsidR="00A53AB2" w:rsidRPr="003C654C">
        <w:rPr>
          <w:rFonts w:ascii="Comic Sans MS" w:eastAsia="Times New Roman" w:hAnsi="Comic Sans MS" w:cs="Arial"/>
          <w:sz w:val="24"/>
          <w:szCs w:val="24"/>
          <w:lang w:eastAsia="en-GB"/>
        </w:rPr>
        <w:t>assessment</w:t>
      </w:r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in different groups of children.</w:t>
      </w:r>
    </w:p>
    <w:p w:rsidR="008F1CDD" w:rsidRPr="003C654C" w:rsidRDefault="008F1CDD" w:rsidP="005B5129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Sequence of learning is seen on the school’s </w:t>
      </w:r>
      <w:r w:rsidRPr="003C654C">
        <w:rPr>
          <w:rFonts w:ascii="Comic Sans MS" w:eastAsia="Times New Roman" w:hAnsi="Comic Sans MS" w:cs="Arial"/>
          <w:i/>
          <w:sz w:val="24"/>
          <w:szCs w:val="24"/>
          <w:lang w:eastAsia="en-GB"/>
        </w:rPr>
        <w:t>History Long Term Overview</w:t>
      </w:r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which summarises teacher’s own medium term planning. At the beginning and end of each topic Years 2-6 will use the KWL or KWHL format to start lines of historical enquiry: What I know already/What I want to find out/ </w:t>
      </w:r>
      <w:proofErr w:type="gramStart"/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>How</w:t>
      </w:r>
      <w:proofErr w:type="gramEnd"/>
      <w:r w:rsidRPr="003C654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will I find out / What have I learned. </w:t>
      </w:r>
    </w:p>
    <w:sectPr w:rsidR="008F1CDD" w:rsidRPr="003C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6FC"/>
    <w:multiLevelType w:val="hybridMultilevel"/>
    <w:tmpl w:val="7D54959A"/>
    <w:lvl w:ilvl="0" w:tplc="7FBCD7A6">
      <w:start w:val="18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7893071"/>
    <w:multiLevelType w:val="hybridMultilevel"/>
    <w:tmpl w:val="88E05D8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22139D1"/>
    <w:multiLevelType w:val="multilevel"/>
    <w:tmpl w:val="7E9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E7356"/>
    <w:multiLevelType w:val="hybridMultilevel"/>
    <w:tmpl w:val="5D2A984C"/>
    <w:lvl w:ilvl="0" w:tplc="F47CC740">
      <w:start w:val="18"/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3A35727"/>
    <w:multiLevelType w:val="hybridMultilevel"/>
    <w:tmpl w:val="21E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45B87"/>
    <w:multiLevelType w:val="hybridMultilevel"/>
    <w:tmpl w:val="786AD9CE"/>
    <w:lvl w:ilvl="0" w:tplc="7890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874E0"/>
    <w:multiLevelType w:val="hybridMultilevel"/>
    <w:tmpl w:val="9F4CC294"/>
    <w:lvl w:ilvl="0" w:tplc="57747908">
      <w:start w:val="18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3C553905"/>
    <w:multiLevelType w:val="hybridMultilevel"/>
    <w:tmpl w:val="5308B16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E9D068D"/>
    <w:multiLevelType w:val="hybridMultilevel"/>
    <w:tmpl w:val="DCC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45"/>
    <w:rsid w:val="000936AA"/>
    <w:rsid w:val="00174671"/>
    <w:rsid w:val="002B136D"/>
    <w:rsid w:val="003C654C"/>
    <w:rsid w:val="004E35A0"/>
    <w:rsid w:val="00547174"/>
    <w:rsid w:val="005B5129"/>
    <w:rsid w:val="005C6F59"/>
    <w:rsid w:val="00654F3B"/>
    <w:rsid w:val="00680BDC"/>
    <w:rsid w:val="006B771C"/>
    <w:rsid w:val="007118B9"/>
    <w:rsid w:val="00712E33"/>
    <w:rsid w:val="00725F17"/>
    <w:rsid w:val="00836745"/>
    <w:rsid w:val="00844B7D"/>
    <w:rsid w:val="008E1FF3"/>
    <w:rsid w:val="008F1CDD"/>
    <w:rsid w:val="00910F11"/>
    <w:rsid w:val="00924E1C"/>
    <w:rsid w:val="009641B5"/>
    <w:rsid w:val="00A27166"/>
    <w:rsid w:val="00A53AB2"/>
    <w:rsid w:val="00B8020E"/>
    <w:rsid w:val="00BE54DD"/>
    <w:rsid w:val="00C40860"/>
    <w:rsid w:val="00C85804"/>
    <w:rsid w:val="00CE41FA"/>
    <w:rsid w:val="00D6279D"/>
    <w:rsid w:val="00DE19D9"/>
    <w:rsid w:val="00E07966"/>
    <w:rsid w:val="00E523F5"/>
    <w:rsid w:val="00EC36DD"/>
    <w:rsid w:val="00F04EC3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A4BC6-9EA9-4249-B984-35CADDF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07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FE315C0D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JGoulding</cp:lastModifiedBy>
  <cp:revision>2</cp:revision>
  <cp:lastPrinted>2021-03-17T16:30:00Z</cp:lastPrinted>
  <dcterms:created xsi:type="dcterms:W3CDTF">2021-05-12T16:29:00Z</dcterms:created>
  <dcterms:modified xsi:type="dcterms:W3CDTF">2021-05-12T16:29:00Z</dcterms:modified>
</cp:coreProperties>
</file>